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ms-excel" Extension="xls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109" coordsize="21600,21600" o:spt="109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120" w:line="264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Федеральное агентство по образованию Российской Федерации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Восточно-Сибирский государственный технологический университет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Институт экономики и права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 «Менеджмент организации, маркетинг и коммерция»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ОТЧЕТ О ПРОХОЖДЕНИИ ОЗНАКОМИТЕЛЬНОЙ ПРАКТИКИ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Выполнил: студент гр.547-2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956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Шагдурова А.М.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4" w:right="0" w:firstLine="6.000000000000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Проверили: руководители практики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Мариев Р.О.___________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Батуева Т.Г.___________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Улан-Удэ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2010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Введение……………………………………………………………………………...3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Краткая характеристики места прохождения практики…………………....4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Выполняемая работа………………………………………………....……….7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Заключение…………………………………………………………………......…….9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Ознакомительная практика была пройдена в филиале «Бурятия-РОСНО» ОАО Страховая компания «РОСНО», находящийся по адресу: г. Улан-Удэ, ул. Бабушкина 22б, офисы 304, 309, 310. Сроки прохождения: 05.07-16.07.2010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Данное подразделение включает: Директор филиала, заместитель директора по партнерским продажам, помощник директора, Управление корпоративных продаж, Отдел информационных технологий.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Директором является Лев Владимир Борисович. Руководитель практики – главный специалист Управления корпоративных продаж Мариев Руслан Олегович.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ознакомительной практики: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ознакомление с организацией (предприятием), его структурой, основными функциями подразделений;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нормативных документов организации (предприятия)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подробное изучение общей организации работы, делопроизводства;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приобретение практических навыков и знаний в области будущей профессии;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подбор и систематизация материала для составления отчета о практике.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Краткая характеристика места прохождения практики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 компаний РОСНО является одной из крупнейших страховых групп в России. В нее входят универсальная страховая компания федерального уровня ОАО СК «РОСНО» и ее дочерние компании: ОАО «РОСНО-МС», ОАО ПК «РОСНО Центр», СЗАО «Медэкспресс», ОАО «Альянс РОСНО Управление Активами» и ОДО «Allianz Украина».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Контрольным пакетом акций РОСНО владеет Allianz New Europe Holding GMBH (99,4%), подразделение ведущего международного страховщика Allianz SE, объединяющее компании в Центральной и Восточной Европе.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Главным принципом деятельности Группы компаний РОСНО является забота о клиентах. Страховые полисы и договоры ГК РОСНО имеют более 17 млн. человек и свыше 50 тыс. предприятий и организаций.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Открытое акционерное общество «Российское страховое народное общество - РОСНО» создано в 1991 г. В распоряжении ее клиентов более 130 видов добровольного и обязательного страхования. Региональная сеть РОСНО насчитывает 88 филиалов, объединенных по территориальному признаку в 8 дирекций, и 383 агентства во всех субъектах РФ.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РОСНО является одним из лидеров российского страхового рынка по объему капитализации. Капитал компании на 100% состоит из собственного акционерного капитала, что обеспечивает дополнительную финансовую надежность и устойчивость. Уставный капитал — 5 124 802 320 руб. (изменение к Уставу зарегистрировано 29.01.2010 г.). Собственные средства — 7 456 767 тыс. руб., страховые резервы — 24 429 307 тыс. руб. (по состоянию на 31.12.2009).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Республике Бурятия с 2007 г. работает филиал открытого акционерного общества страховой компании «РОСНО» - «Бурятия-РОСНО» по адресу г. Улан-Удэ, ул. Бабушкина, д. 22б. До этого с 2006 г. в Бурятии осуществляло свою деятельность страховое агентство «Бурятия-РОСНО», затем в середине 2007 г. оно получило статус филиала.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Возглавляет филиал «Бурятия-РОСНО» директор, назначенный головной компанией – Лев Владимир Борисович. Кадровый состав филиала включает в себя 8 штатных сотрудников и 38 внештатных (страховые агенты). Штат филиала составляют: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директор филиала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заместитель директора Управления партнерских продаж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помощника директора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главный специалист Управления корпоративных продаж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специалиста Управления корпоративных продаж (риск-менеджеры)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специалист информационных технологий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Организационную структуру филиала «Бурятия-РОСНО» можно изобразить следующим образом: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558800</wp:posOffset>
                </wp:positionV>
                <wp:extent cx="2692400" cy="38544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12500" y="3599978"/>
                          <a:ext cx="2667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Директор филиала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558800</wp:posOffset>
                </wp:positionV>
                <wp:extent cx="2692400" cy="38544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400" cy="385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025650" cy="63436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345875" y="3475518"/>
                          <a:ext cx="2000250" cy="608965"/>
                        </a:xfrm>
                        <a:custGeom>
                          <a:rect b="b" l="l" r="r" t="t"/>
                          <a:pathLst>
                            <a:path extrusionOk="0" h="608965" w="2000250">
                              <a:moveTo>
                                <a:pt x="0" y="0"/>
                              </a:moveTo>
                              <a:lnTo>
                                <a:pt x="2000250" y="6089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025650" cy="634365"/>
                <wp:effectExtent b="0" l="0" r="0" t="0"/>
                <wp:wrapNone/>
                <wp:docPr id="1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650" cy="634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387350" cy="63436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165025" y="3475518"/>
                          <a:ext cx="361950" cy="608965"/>
                        </a:xfrm>
                        <a:custGeom>
                          <a:rect b="b" l="l" r="r" t="t"/>
                          <a:pathLst>
                            <a:path extrusionOk="0" h="608965" w="361950">
                              <a:moveTo>
                                <a:pt x="0" y="0"/>
                              </a:moveTo>
                              <a:lnTo>
                                <a:pt x="361950" y="6089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387350" cy="634365"/>
                <wp:effectExtent b="0" l="0" r="0" t="0"/>
                <wp:wrapNone/>
                <wp:docPr id="1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350" cy="634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0</wp:posOffset>
                </wp:positionV>
                <wp:extent cx="2216150" cy="63436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 flipH="1">
                          <a:off x="4250625" y="3475518"/>
                          <a:ext cx="2190750" cy="608965"/>
                        </a:xfrm>
                        <a:custGeom>
                          <a:rect b="b" l="l" r="r" t="t"/>
                          <a:pathLst>
                            <a:path extrusionOk="0" h="608965" w="2190750">
                              <a:moveTo>
                                <a:pt x="0" y="0"/>
                              </a:moveTo>
                              <a:lnTo>
                                <a:pt x="2190750" y="6089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0</wp:posOffset>
                </wp:positionV>
                <wp:extent cx="2216150" cy="634365"/>
                <wp:effectExtent b="0" l="0" r="0" t="0"/>
                <wp:wrapNone/>
                <wp:docPr id="1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6150" cy="634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1016000" cy="63373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flipH="1">
                          <a:off x="4850700" y="3475835"/>
                          <a:ext cx="990600" cy="608330"/>
                        </a:xfrm>
                        <a:custGeom>
                          <a:rect b="b" l="l" r="r" t="t"/>
                          <a:pathLst>
                            <a:path extrusionOk="0" h="608330" w="990600">
                              <a:moveTo>
                                <a:pt x="0" y="0"/>
                              </a:moveTo>
                              <a:lnTo>
                                <a:pt x="990600" y="6083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1016000" cy="633730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633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0</wp:posOffset>
                </wp:positionV>
                <wp:extent cx="1625600" cy="7874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45900" y="3399000"/>
                          <a:ext cx="1600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Отдел информационных технологий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0</wp:posOffset>
                </wp:positionV>
                <wp:extent cx="1625600" cy="787400"/>
                <wp:effectExtent b="0" l="0" r="0" t="0"/>
                <wp:wrapNone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78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0</wp:posOffset>
                </wp:positionV>
                <wp:extent cx="1482725" cy="7112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617338" y="3437100"/>
                          <a:ext cx="1457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Управление корпоративных продаж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0</wp:posOffset>
                </wp:positionV>
                <wp:extent cx="1482725" cy="711200"/>
                <wp:effectExtent b="0" l="0" r="0" t="0"/>
                <wp:wrapNone/>
                <wp:docPr id="1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2725" cy="71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1206500" cy="7112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755450" y="3437100"/>
                          <a:ext cx="1181100" cy="685800"/>
                        </a:xfrm>
                        <a:custGeom>
                          <a:rect b="b" l="l" r="r" t="t"/>
                          <a:pathLst>
                            <a:path extrusionOk="0" h="685800" w="1181100">
                              <a:moveTo>
                                <a:pt x="0" y="0"/>
                              </a:moveTo>
                              <a:lnTo>
                                <a:pt x="0" y="685800"/>
                              </a:lnTo>
                              <a:lnTo>
                                <a:pt x="1181100" y="685800"/>
                              </a:lnTo>
                              <a:lnTo>
                                <a:pt x="1181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Управление партнерских продаж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1206500" cy="711200"/>
                <wp:effectExtent b="0" l="0" r="0" t="0"/>
                <wp:wrapNone/>
                <wp:docPr id="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0" cy="71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1082675" cy="5588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817363" y="3513300"/>
                          <a:ext cx="1057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Помощник директора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1082675" cy="558800"/>
                <wp:effectExtent b="0" l="0" r="0" t="0"/>
                <wp:wrapNone/>
                <wp:docPr id="1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675" cy="55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63500</wp:posOffset>
                </wp:positionV>
                <wp:extent cx="482600" cy="33845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17400" y="3623473"/>
                          <a:ext cx="457200" cy="313055"/>
                        </a:xfrm>
                        <a:custGeom>
                          <a:rect b="b" l="l" r="r" t="t"/>
                          <a:pathLst>
                            <a:path extrusionOk="0" h="313055" w="457200">
                              <a:moveTo>
                                <a:pt x="0" y="0"/>
                              </a:moveTo>
                              <a:lnTo>
                                <a:pt x="457200" y="313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63500</wp:posOffset>
                </wp:positionV>
                <wp:extent cx="482600" cy="338455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8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152400</wp:posOffset>
                </wp:positionV>
                <wp:extent cx="38100" cy="3841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346000" y="3594263"/>
                          <a:ext cx="635" cy="371475"/>
                        </a:xfrm>
                        <a:custGeom>
                          <a:rect b="b" l="l" r="r" t="t"/>
                          <a:pathLst>
                            <a:path extrusionOk="0" h="371475" w="635">
                              <a:moveTo>
                                <a:pt x="0" y="0"/>
                              </a:moveTo>
                              <a:lnTo>
                                <a:pt x="635" y="3714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152400</wp:posOffset>
                </wp:positionV>
                <wp:extent cx="38100" cy="384175"/>
                <wp:effectExtent b="0" l="0" r="0" t="0"/>
                <wp:wrapNone/>
                <wp:docPr id="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4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63500</wp:posOffset>
                </wp:positionV>
                <wp:extent cx="939800" cy="33845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 flipH="1">
                          <a:off x="4888800" y="3623473"/>
                          <a:ext cx="914400" cy="313055"/>
                        </a:xfrm>
                        <a:custGeom>
                          <a:rect b="b" l="l" r="r" t="t"/>
                          <a:pathLst>
                            <a:path extrusionOk="0" h="313055" w="914400">
                              <a:moveTo>
                                <a:pt x="0" y="0"/>
                              </a:moveTo>
                              <a:lnTo>
                                <a:pt x="914400" y="313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63500</wp:posOffset>
                </wp:positionV>
                <wp:extent cx="939800" cy="338455"/>
                <wp:effectExtent b="0" l="0" r="0" t="0"/>
                <wp:wrapNone/>
                <wp:docPr id="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0" cy="338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76200</wp:posOffset>
                </wp:positionV>
                <wp:extent cx="1139825" cy="35877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788788" y="3613313"/>
                          <a:ext cx="1114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специалист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76200</wp:posOffset>
                </wp:positionV>
                <wp:extent cx="1139825" cy="358775"/>
                <wp:effectExtent b="0" l="0" r="0" t="0"/>
                <wp:wrapNone/>
                <wp:docPr id="1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825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76200</wp:posOffset>
                </wp:positionV>
                <wp:extent cx="1196975" cy="5492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760213" y="3518063"/>
                          <a:ext cx="1171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Главный специалист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76200</wp:posOffset>
                </wp:positionV>
                <wp:extent cx="1196975" cy="549275"/>
                <wp:effectExtent b="0" l="0" r="0" t="0"/>
                <wp:wrapNone/>
                <wp:docPr id="1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49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203200</wp:posOffset>
                </wp:positionV>
                <wp:extent cx="1082675" cy="3492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817363" y="3618075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специалист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203200</wp:posOffset>
                </wp:positionV>
                <wp:extent cx="1082675" cy="349250"/>
                <wp:effectExtent b="0" l="0" r="0" t="0"/>
                <wp:wrapNone/>
                <wp:docPr id="1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675" cy="349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Филиал «Бурятия-РОСНО» предоставляет в Республике Бурятия более 130 видов страхования. Например, такие как: автострахование, страхование имущества, добровольное медицинское страхование, ипотечное страхование, страхование от несчастных случаев, страхование путешественников, страхование животных, страхование ответственности, страхование грузов и другие.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pict>
          <v:shape id="Диаграмма 1" style="width:432.75pt;height:252pt;visibility:visible" o:spid="_x0000_i1040" o:oleicon="f" o:ole="" type="#_x0000_t75">
            <v:imagedata cropbottom="-130f" r:id="rId1" o:title=""/>
            <o:lock v:ext="edit" aspectratio="f"/>
          </v:shape>
          <o:OLEObject DrawAspect="Content" r:id="rId2" ObjectID="_1469876231" ProgID="Excel.Sheet.8" ShapeID="Диаграмма 1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Выполняемая работа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Изучила: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законодательство в сфере страхования – Гражданский кодекс РФ, гл. 48 «Страхование», ФЗ РФ № 40 от 25 апреля 2002 «Об обязательном страховании гражданской ответственности владельцев транспортных средств»;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методические пособия по урегулированию убытков (ОСАГО, КАСКО, имущество юрид.лиц, несчастные случаи);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страхования ОСАГО и КАСКО.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Содействие в регистрации входящей и исходящей корреспонденции. Формирование почтовых отправлений (составление реестра отправляемых документов, их регистрация и отправка).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Оформление полисов ОСАГО (прием заявления, копии паспорта, водительского удостоверения, паспорта ТС или свидетельства о регистрации ТС). Расчет стоимости полиса ОСАГО по таблице страховых тарифов по ОСАГО, утвержденных Постановлениями Правительства РФ от 21.06.2007 № 390, от 29.02.2008 № 130, от 10.03.2009 № 225.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Осуществление телефонного обзвона страхователей по пролонгации полисов ОСАГО.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Участие в приеме документов по страховым случаям: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ОСАГО: заявление о страховой выплате; справка Ф-748 о ДТП (копия), определение об отказе в возбуждении дела об административном правонарушении (копия), постановление по делу об административном правонарушении (копия), протокол об административном правонарушении (копия); извещение о ДТП; копии паспорта владельца ТС, водительского удостоверения, паспорта ТС или свидетельства о регистрации ТС, полиса страхователя виновника; реквизиты банка клиента.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КАСКО: заявление о страховой выплате; документы с ГАИ (не обязательно); копии паспорта владельца ТС, водительского удостоверения, паспорта ТС или свидетельства о регистрации ТС, полиса страхователя; реквизиты банка клиента.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оформление направления в независимый экспертный центр «Динамо-Авто» на осмотр ТС.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Участие в выездном осмотре имущества юрид.лица по страховому случаю «Бой стекла» ОАО «ГЖК-Бурятия». Осуществление обзорных и детальных фотографий объекта страхования и составление акта осмотра с описанием всех повреждений.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Содействие в проведении осмотра ТС при наступлении страховых случаев при отсутствии скрытых дефектов. Осуществление обзорных и детальных фотографий: вид спереди, сзади, сбоку; повреждения; показания спидометра; индивидуальный идентификационный номер. Составление акта осмотра ТС с описанием всех повреждений.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Участие при подготовке документов для предъявления суброгации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другим страховым компаниям. Сбор документов: составление претензии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приложение документов – копии справки о ДТП, заявления страхователя о выплате (копия), водительского удостоверения, ПТС или свидетельства о регистрации ТС, платежного поручения о выплате страхового возмещения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материалов дела по урегулированию убытков в отдельные папки и отправка на хранение в архив компании.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 руководством главного специалиста Управления корпоративных продаж ознакомилась с деятельностью страховой компании. Изучала: законодательство в сфере страхования – Гражданский кодекс РФ, гл. 48 «Страхование», ФЗ РФ № 40 от 25 апреля 2002 «Об обязательном страховании гражданской ответственности владельцев транспортных средств»; методические пособия по урегулированию убытков (ОСАГО, КАСКО, имущество юрид.лиц, несчастные случаи); правила страхования ОСАГО и КАСКО.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целью ознакомления с тактикой и методикой проведения осмотров ТС и имущества присутствовала  при проведении таких действий, как: осмотр и фотографирование ТС и имущества.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Составляла проекты следующих документов: заявление о страховой выплате ОСАГО и КАСКО, заявление о заключении договора ОСАГО владельца ТС, заявление на выплату страхового возмещения по имуществу юридических лиц, заявление о прямом возмещении убытков по ОСАГО, акт осмотра имущества и ТС, извещение о ДТП.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Ознакомительная практика является одним из основных условий закрепления полученных знаний, приобретения практических навыков по их применению, а также выявлению пробелов в знаниях теории; дает возможность получить начальную практическую подготовку, оценить свои возможности и определится в своей будущей специальности.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Считаю, что программу практики выполнила в полном объеме, получив необходимые практические навыки и закрепив полученные теоретические знания.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Calibri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Суброгация - переход к страховщику, выплатившему страховое возмещение, права требовать компенсацию с лица, ответственного за ущерб, причиненный страхователю в пределах возмещенного.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срок рассмотрения данной претензии 10 дней.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025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rsid w:val="00F50251"/>
    <w:rPr>
      <w:rFonts w:ascii="Verdana" w:cs="Verdana" w:hAnsi="Verdana"/>
      <w:color w:val="0000ff"/>
      <w:u w:val="single"/>
    </w:rPr>
  </w:style>
  <w:style w:type="paragraph" w:styleId="Normal0" w:customStyle="1">
    <w:name w:val="Normal_0"/>
    <w:qFormat w:val="1"/>
    <w:pPr>
      <w:spacing w:after="0" w:line="240" w:lineRule="auto"/>
    </w:pPr>
    <w:rPr>
      <w:rFonts w:ascii="Times New Roman" w:cs="Times New Roman" w:eastAsia="PMingLiU" w:hAnsi="Times New Roman"/>
      <w:sz w:val="24"/>
      <w:szCs w:val="24"/>
      <w:lang w:eastAsia="zh-TW"/>
    </w:rPr>
  </w:style>
  <w:style w:type="paragraph" w:styleId="NoSpacing">
    <w:name w:val="No Spacing"/>
    <w:uiPriority w:val="1"/>
    <w:qFormat w:val="1"/>
    <w:rsid w:val="00785E97"/>
    <w:pPr>
      <w:spacing w:after="0" w:line="240" w:lineRule="auto"/>
    </w:pPr>
    <w:rPr>
      <w:rFonts w:ascii="Calibri" w:cs="Times New Roman" w:eastAsia="Calibri" w:hAnsi="Calibri"/>
      <w:sz w:val="22"/>
      <w:szCs w:val="22"/>
      <w:lang w:eastAsia="en-US"/>
    </w:rPr>
  </w:style>
  <w:style w:type="paragraph" w:styleId="Default" w:customStyle="1">
    <w:name w:val="Default"/>
    <w:rsid w:val="00012F5B"/>
    <w:pPr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color w:val="000000"/>
      <w:sz w:val="24"/>
      <w:szCs w:val="24"/>
      <w:lang w:eastAsia="en-US"/>
    </w:rPr>
  </w:style>
  <w:style w:type="paragraph" w:styleId="ListParagraph">
    <w:name w:val="List Paragraph"/>
    <w:basedOn w:val="Normal0"/>
    <w:uiPriority w:val="34"/>
    <w:qFormat w:val="1"/>
    <w:rsid w:val="00E35D90"/>
    <w:pPr>
      <w:ind w:left="720"/>
      <w:contextualSpacing w:val="1"/>
    </w:pPr>
    <w:rPr>
      <w:rFonts w:eastAsia="Times New Roman"/>
      <w:lang w:eastAsia="ru-RU"/>
    </w:rPr>
  </w:style>
  <w:style w:type="character" w:styleId="FootnoteReference">
    <w:name w:val="footnote reference"/>
    <w:basedOn w:val="DefaultParagraphFont"/>
    <w:uiPriority w:val="99"/>
    <w:unhideWhenUsed w:val="1"/>
    <w:rsid w:val="00785E97"/>
    <w:rPr>
      <w:rFonts w:ascii="Times New Roman" w:cs="Times New Roman" w:eastAsia="PMingLiU" w:hAnsi="Times New Roman"/>
      <w:sz w:val="24"/>
      <w:szCs w:val="24"/>
      <w:vertAlign w:val="superscript"/>
      <w:lang w:eastAsia="zh-TW"/>
    </w:rPr>
  </w:style>
  <w:style w:type="paragraph" w:styleId="FootnoteText">
    <w:name w:val="footnote text"/>
    <w:basedOn w:val="Normal0"/>
    <w:link w:val="a"/>
    <w:uiPriority w:val="99"/>
    <w:unhideWhenUsed w:val="1"/>
    <w:rsid w:val="00785E97"/>
    <w:rPr>
      <w:rFonts w:ascii="Calibri" w:eastAsia="Calibri" w:hAnsi="Calibri"/>
      <w:sz w:val="20"/>
      <w:szCs w:val="20"/>
      <w:lang w:eastAsia="en-US"/>
    </w:rPr>
  </w:style>
  <w:style w:type="character" w:styleId="a" w:customStyle="1">
    <w:name w:val="Текст виноски Знак"/>
    <w:basedOn w:val="DefaultParagraphFont"/>
    <w:link w:val="FootnoteText"/>
    <w:uiPriority w:val="99"/>
    <w:rsid w:val="00785E97"/>
    <w:rPr>
      <w:rFonts w:ascii="Calibri" w:cs="Times New Roman" w:eastAsia="Calibri" w:hAnsi="Calibr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11" Type="http://schemas.openxmlformats.org/officeDocument/2006/relationships/image" Target="media/image13.png"/><Relationship Id="rId22" Type="http://schemas.openxmlformats.org/officeDocument/2006/relationships/image" Target="media/image12.png"/><Relationship Id="rId10" Type="http://schemas.openxmlformats.org/officeDocument/2006/relationships/image" Target="media/image2.png"/><Relationship Id="rId21" Type="http://schemas.openxmlformats.org/officeDocument/2006/relationships/image" Target="media/image8.png"/><Relationship Id="rId13" Type="http://schemas.openxmlformats.org/officeDocument/2006/relationships/image" Target="media/image14.png"/><Relationship Id="rId24" Type="http://schemas.openxmlformats.org/officeDocument/2006/relationships/image" Target="media/image11.png"/><Relationship Id="rId12" Type="http://schemas.openxmlformats.org/officeDocument/2006/relationships/image" Target="media/image16.png"/><Relationship Id="rId23" Type="http://schemas.openxmlformats.org/officeDocument/2006/relationships/image" Target="media/image9.png"/><Relationship Id="rId1" Type="http://schemas.openxmlformats.org/officeDocument/2006/relationships/image" Target="media/image1.png"/><Relationship Id="rId2" Type="http://schemas.openxmlformats.org/officeDocument/2006/relationships/oleObject" Target="embeddings/Microsoft_Excel_Sheet1.xls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7" Type="http://schemas.openxmlformats.org/officeDocument/2006/relationships/image" Target="media/image6.png"/><Relationship Id="rId16" Type="http://schemas.openxmlformats.org/officeDocument/2006/relationships/image" Target="media/image10.png"/><Relationship Id="rId5" Type="http://schemas.openxmlformats.org/officeDocument/2006/relationships/fontTable" Target="fontTable.xml"/><Relationship Id="rId19" Type="http://schemas.openxmlformats.org/officeDocument/2006/relationships/image" Target="media/image3.png"/><Relationship Id="rId6" Type="http://schemas.openxmlformats.org/officeDocument/2006/relationships/footnotes" Target="footnotes.xml"/><Relationship Id="rId18" Type="http://schemas.openxmlformats.org/officeDocument/2006/relationships/image" Target="media/image15.png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hYLDEXBDu+Ea2/boHTyYMHsEHg==">AMUW2mULSxYPJsohxWJdue1KYv3NGf5f3fgvGGMG6i5J2zKKE2thzwYgaS3sDwpeJx/Q498rdl1O2oc4WR3aMUCbyXF69umYc9Q99zHe6RtOdz3KEnMkspQ=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2019-01-19T08:04:00Z</dcterms:created>
</cp:coreProperties>
</file>