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1672" w:rsidRDefault="00EA60B9">
      <w:pPr>
        <w:spacing w:before="240" w:after="240" w:line="360" w:lineRule="auto"/>
        <w:ind w:firstLine="7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Теоретическую и методологическую базу исследования составляют концептуальные положения, содержащиеся в работах отечественных ученых, а также в законодательных актах Российской Федерации и других нормативных материалов федеральных, региональных и местных ор</w:t>
      </w:r>
      <w:r>
        <w:rPr>
          <w:sz w:val="28"/>
          <w:szCs w:val="28"/>
        </w:rPr>
        <w:t>ганов управления. Основными методами исследования в данной работе являются методы анализа и изучения нормативно-правовых актов, а также метод сравнительного анализа.</w:t>
      </w:r>
    </w:p>
    <w:p w14:paraId="00000002" w14:textId="77777777" w:rsidR="00CF1672" w:rsidRDefault="00CF1672"/>
    <w:sectPr w:rsidR="00CF16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72"/>
    <w:rsid w:val="00CF1672"/>
    <w:rsid w:val="00E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8464A-8D74-475C-838E-588CEFA4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2020-05-24T14:53:00Z</dcterms:created>
  <dcterms:modified xsi:type="dcterms:W3CDTF">2020-05-24T14:53:00Z</dcterms:modified>
</cp:coreProperties>
</file>