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35A41" w:rsidRDefault="006120AB">
      <w:pPr>
        <w:shd w:val="clear" w:color="auto" w:fill="FFFFFF"/>
        <w:spacing w:before="240" w:line="360" w:lineRule="auto"/>
        <w:ind w:left="60" w:right="6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Методика исследования</w:t>
      </w:r>
      <w:r>
        <w:rPr>
          <w:rFonts w:ascii="Times New Roman" w:eastAsia="Times New Roman" w:hAnsi="Times New Roman" w:cs="Times New Roman"/>
        </w:rPr>
        <w:t xml:space="preserve"> в силy его специфики является комплексной и базируется на опыте литературоведческих и теоретических работ отечественных и зарубежных исследователей. В ряде случаев исследование требовало непосредственного обращения к исследовательским принципам культуроло</w:t>
      </w:r>
      <w:r>
        <w:rPr>
          <w:rFonts w:ascii="Times New Roman" w:eastAsia="Times New Roman" w:hAnsi="Times New Roman" w:cs="Times New Roman"/>
        </w:rPr>
        <w:t>гии, мифологии, мифопоэтики и семиотики. Это мотивный и интертекстyальный анализ, биографический, кyльтyрно-исторический и компаративный методы.</w:t>
      </w:r>
    </w:p>
    <w:p w14:paraId="00000002" w14:textId="77777777" w:rsidR="00935A41" w:rsidRDefault="00935A41"/>
    <w:sectPr w:rsidR="00935A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1"/>
    <w:rsid w:val="006120AB"/>
    <w:rsid w:val="009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0A2E4-F203-42F6-BEBF-5B220A8E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Anatolii</dc:creator>
  <cp:lastModifiedBy>Пользователь Windows</cp:lastModifiedBy>
  <cp:revision>2</cp:revision>
  <dcterms:created xsi:type="dcterms:W3CDTF">2020-05-24T14:54:00Z</dcterms:created>
  <dcterms:modified xsi:type="dcterms:W3CDTF">2020-05-24T14:54:00Z</dcterms:modified>
</cp:coreProperties>
</file>