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B03B0" w:rsidRDefault="00F17B21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Методология исследования базируется на общенаучных методах: анализа и синтеза; системного, логического и сравнительного анализа; выборочных обследований; экономико-математического моделирования; графического метода. Использованы справочные, статистические </w:t>
      </w:r>
      <w:r>
        <w:rPr>
          <w:rFonts w:ascii="Times New Roman" w:eastAsia="Times New Roman" w:hAnsi="Times New Roman" w:cs="Times New Roman"/>
          <w:sz w:val="24"/>
          <w:szCs w:val="24"/>
        </w:rPr>
        <w:t>и нормативно-правовые материалы по исследуемой проблеме.</w:t>
      </w:r>
    </w:p>
    <w:p w14:paraId="00000002" w14:textId="77777777" w:rsidR="000B03B0" w:rsidRDefault="000B03B0"/>
    <w:sectPr w:rsidR="000B03B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B0"/>
    <w:rsid w:val="000B03B0"/>
    <w:rsid w:val="00F1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F49DC-EC5C-4033-945E-EB05E605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2020-05-24T14:55:00Z</dcterms:created>
  <dcterms:modified xsi:type="dcterms:W3CDTF">2020-05-24T14:55:00Z</dcterms:modified>
</cp:coreProperties>
</file>