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2018.05.007. ЩЕГЛОВ А.Д. РЕФОРМАЦИЯ В ШВЕЦИИ: СОБЫТИЯ, ДЕЯТЕЛИ, ДОКУМЕНТЫ. – М.; СПб.: Центр гуманитарных инициатив, 2017. – 384 с.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Ключевые слова: Швеция, 1520‒1530-е годы; реформация в Швеции; Вестеросский риксдаг 1527 г.; О. Петри.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Доктор ист. наук А.Д. Щеглов (Институт истории и политики) исследует ранний этап Реформации в Швеции (1520–1530-е годы).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Особое внимание уделяется ключевому событию шведской реформации – Вестеросскому риксдагу 1527 г., главным итогом которого было постановление о секуляризации церковных земель. Большое место в монографии занимает изучение жизненного пути и трудов духовного лидера шведских реформаторов – Олауса Петри. Работа состоит из введения, восьми глав, заключения и приложения, где представлены документы Вестеросского риксдага. Во введении изложена историография вопроса и дается характеристика источников – архивных материалов из рукописных собраний Упсалы и Стокгольма (Швеция), а также из Отдела рукописей Российской национальной библиотеки. В первой главе рассматривается состояние шведского общества к началу 1520-х годов, когда Швеция окончательно вышла из неравноправной для нее Кальмарской унии с Данией и добилась полной независимости. К этому времени, как отмечает автор, в стране сложились предпосылки для формирования централизованного государства с сильной королевской властью, которому соответствовала национальная церковь, независимая от римского папы. В 1520-х годах в Швеции готовилась «королевская Реформация», король Густав Ваза уже в этот период проводил политику, во многом основанную на учении Лютера, сотрудничал с реформаторами Олаусом Петри и Лаврентиусом Андреэ, которые создали и опубликовали богословскую и религиозно-просветительскую литературу на шведском языке. Уже в первой половине 1520-х годов в Швеции шли процессы, которые имели место несколько ранее в ряде регионов Центральной и Северной Европы и которые принято называть реформационными. В этот период церковь утрачивает свои привилегии. 2018.05.007 60 С точки зрения автора, в истории шведской Реформации достаточно четко выделяется ее ранний этап: 1520–1530-е годы, этап переходный, во многом связанный со Средневековьем. На этом этапе борьба вокруг реформационных идей в Швеции часто рассматривалась как продолжение борьбы за «свободу церкви», т.е. оценивалась в средневековых категориях. А.Д. Щеглов полемизирует со шведским католическим историком М. Нюманом, который не считает рассматриваемый период ранним этапом Реформации. Согласно М. Нюману, лютеранская Реформация была проведена сверху в 1540-х годах, а до этого преобразования проводила католическая церковь, что не затрагивало религиозной доктрины лютеран. Согласно же выводам А.Д. Щеглова, в 1520-е годы имели место как подготовка реформационных преобразований со стороны короля, так и спонтанное распространение реформационных идей, о чем свидетельствует корреспонденция епископа Ханса Браска, противника реформационного вероучения (с. 58). Вторая глава посвящена Вестеросскому риксдагу, его подготовке, составу, ходу и анализу итоговой резолюции – Вестеросского рецесса. Рассмотрена современная полемика в историографии по поводу данного события: можно ли считать Вестеросский ригсдаг «реформационным», либо же его решения носили экономический и политический характер, а постановления о новшествах в области религии приняты не были. Автор оценивает Вестеросский риксдаг как реформационный. Этот риксдаг «был тесно связан с борьбой вокруг реформационных идей, король и его сторонники-реформаторы непосредственно перед собранием не скрывали своих симпатий к учению Лютера и намерений осуществить преобразования, руководствуясь новыми установками, хотя на риксдаге отдали предпочтение двусмысленным формулировкам в том, что касается веры» (с. 87). Вестеросский ригсдаг 1527 г. фактически знаменовал собой начало Реформации. На это, по мнению автора, указывает и тот факт, что король, добившись от сословий формального согласия на редукцию церковных доходов и имущества, изменив общественное и правовое положение церкви без санкции духовенства, одновременно провел резолюцию о вере, создавшую условия для распространения лютеранских идей в Швеции (с. 88–89). Король и его союзники «поставили вопрос о ненужности и вреде привилегий 2018.05.007 61 духовенства, о бесполезности богослужений в том виде, в каком их совершала католическая церковь, и о вреде многих церковных обычаев» (с. 89). Третья глава посвящена исследованию одного из наиболее дискуссионных памятников ‒ текстов Вестеросских ордонансов, являвшихся конкретными указами для практической реализации резолюций риксдага. По сравнению с рецессом, ордонансы значительно расширяли полномочия короля: он получал право взимать в свою пользу штрафы, ранее собиравшиеся епископами, в отдельных случаях назначать приходских священников, санкционировать пожалования церковных бенефициев, без обсуждения с епископами определять сумму взимаемого с них налога. Автор сравнивает различные редакции ордонансов: латинскую версию из библиотеки Упсальского университета, текст на шведском языке из Ватиканского архива, обнаруженный автором в библиотеке Упсальского университета текст ХVII в., сохранившийся в двух списках, а также версию, изложенную в Линчёпингской рукописи. Последняя содержит статьи о разрыве шведской церкви с папским престолом, а также параграфы о секуляризации церковных земель и о налогообложении церкви. Все это дало возможность автору создать собственную концепцию истории создания ордонансов. В четвертой главе рассматриваются документы, разъясняющие постановления Вестеросского риксдага: открытое письмо риксдага жителям страны (документ сохранился в нескольких списках, имеющих разночтения), комментарий первого шведского архиепископа из числа реформаторов Лаврентиуса Петри (брата Олауса Петри). Сравнение обоих документов приводит автора к выводу о том, что в освещении решений Вестеросского риксдага прослеживается определенная тенденция, которая находит свое отражение в открытом письме риксдага: «Члены государственного совета стремились успокоить народ, убедить простых людей, что в Швеции не вводится новая вера» (с. 134). В комментариях Лаврентиуса Петри четко выражены идеи Реформации, что убеждает автора в том, что «шведские реформаторы рассматривали решения Вестеросского риксдага как правовую основу реформ, основанных на лютеранском учении» (там же). В пятой главе показано, как решения риксдага воплощались в жизнь, каковы были конкретные шаги шведских реформаторов в 2018.05.007 62 богословской, церковно-институциональной и административной сферах. Автор отмечает, что секуляризация церковных поместий началась еще до Вестеросского риксдага, в 1520-е годы. Однако после риксдага масштаб секуляризации значительно вырос. Формально Вестеросские постановления о секуляризации действовали лишь в отношении дворян, тем не менее бюргеры, а в некоторых случаях даже бонды активно участвовали в отчуждении церковной недвижимости (с. 149). В целом, однако, как подчеркивает А.Д. Щеглов, реформационная активность бюргеров в Швеции была ниже, чем во многих городах Германии и Швейцарии. «Бюргерская Реформация» имела отдельные проявления, в основном в Стокгольме. Но тем не менее «бюргерство и здесь выступало в качестве социальной базы “королевской Реформации”, проявляло интерес к ее материальным результатам» (с. 150). Шестая глава посвящена «Восстанию вестьетских господ» весной 1529 г., мощному народному движению, охватившему значительную территорию южных областей Швеции, и его освещению в хронике Педера Сварта, а также в других источниках. Восстание явилось реакцией на Вестеросский риксдаг и на реализацию его постановлений. В главе также приведена дискуссия относительно характера восстания: было ли это выступление группы высшего дворянства и духовенства, не нашедшее отклика у широких народных масс (шведский историк А.Г. Альквист), или же это был народный бунт, крайне опасный для короля (шведские историки Л.А. Нурборг и С. Чёллерстрём). На основе исследованных документов автор приходит к выводу о том, что в восстании 1529 г., наряду с мятежом элиты, присутствовал ярко выраженный элемент народного бунта, хотя и использованный оппозиционерамиаристократами в своих интересах. На начальной стадии восстания сформировался альянс повстанцев: вестъетское фрельсе (светское фрельсе – военно-служилое сословие, церковное фрельсе – духовенство. – Реф.), йенчепингские бюргеры, нижнешведские бонды. Повстанцы обвиняли короля в нарушении присяги, притеснениях духовенства, налоговых злоупотреблениях. Седьмая глава посвящена Олаусу Петри и его богословскополитическим трудам. На основе их изучения автор показал, что Олаус Петри являлся, прежде всего, последователем Лютера. «Шведская хроника», историческое сочинение Олауса Петри, ис- 2018.05.008 63 следуется в восьмой главе. Автор проанализировал все четыре списка «Хроники», хранящиеся в Санкт-Петербурге. Отмечается, что в «Хронике» идеи Реформации не играют первостепенной роли, присутствуют лишь в небольшом объеме. «Историк Олаус Петри предстает несколько иным автором, чем реформатор Олаус Петри, т.е. более нейтральным и толерантным, широким, почти абстрагировавшимся от конфессиональной полемики» (с. 287).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