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D" w:rsidRDefault="001C7B61" w:rsidP="00D83A5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AE562D" w:rsidRDefault="00AE562D">
      <w:pPr>
        <w:spacing w:line="360" w:lineRule="auto"/>
        <w:ind w:firstLine="709"/>
        <w:jc w:val="both"/>
        <w:rPr>
          <w:sz w:val="28"/>
          <w:szCs w:val="28"/>
        </w:rPr>
      </w:pPr>
    </w:p>
    <w:p w:rsidR="00AE562D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AE562D" w:rsidRDefault="00D83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C7B61">
        <w:rPr>
          <w:sz w:val="28"/>
          <w:szCs w:val="28"/>
        </w:rPr>
        <w:t>. Теоретические аспекты теневой экономики</w:t>
      </w:r>
    </w:p>
    <w:p w:rsidR="00AE562D" w:rsidRDefault="00D83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C7B61">
        <w:rPr>
          <w:sz w:val="28"/>
          <w:szCs w:val="28"/>
        </w:rPr>
        <w:t>.1 Сущность теневой экономики и её составляющие и критерии</w:t>
      </w:r>
    </w:p>
    <w:p w:rsidR="00AE562D" w:rsidRDefault="00D83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C7B61">
        <w:rPr>
          <w:sz w:val="28"/>
          <w:szCs w:val="28"/>
        </w:rPr>
        <w:t>.2 Методика подходов к оценке масштабов ТЭ в ЛЗП</w:t>
      </w:r>
    </w:p>
    <w:p w:rsidR="00AE562D" w:rsidRDefault="00D83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C7B61">
        <w:rPr>
          <w:sz w:val="28"/>
          <w:szCs w:val="28"/>
        </w:rPr>
        <w:t>.3 Субъекты теневой экономики</w:t>
      </w:r>
    </w:p>
    <w:p w:rsidR="00AE562D" w:rsidRDefault="00D83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C7B61">
        <w:rPr>
          <w:sz w:val="28"/>
          <w:szCs w:val="28"/>
        </w:rPr>
        <w:t>.4 Состояние и особенности развитие теневой экономики в лесопромышленном комплексе</w:t>
      </w:r>
    </w:p>
    <w:p w:rsidR="00AE562D" w:rsidRDefault="00D83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C7B61">
        <w:rPr>
          <w:sz w:val="28"/>
          <w:szCs w:val="28"/>
        </w:rPr>
        <w:t>. Состояние лесного комплекса и объем незаконной заготовки леса в иркутской области</w:t>
      </w:r>
    </w:p>
    <w:p w:rsidR="00AE562D" w:rsidRDefault="00D83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C7B61">
        <w:rPr>
          <w:sz w:val="28"/>
          <w:szCs w:val="28"/>
        </w:rPr>
        <w:t>.1 Состояние лесного хозяйства Иркутской области</w:t>
      </w:r>
    </w:p>
    <w:p w:rsidR="00AE562D" w:rsidRDefault="00D83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C7B61">
        <w:rPr>
          <w:sz w:val="28"/>
          <w:szCs w:val="28"/>
        </w:rPr>
        <w:t>.2 Анализ состояния лесной промышленности Иркутской области</w:t>
      </w:r>
    </w:p>
    <w:p w:rsidR="00AE562D" w:rsidRDefault="00D83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C7B61">
        <w:rPr>
          <w:sz w:val="28"/>
          <w:szCs w:val="28"/>
        </w:rPr>
        <w:t>.3 Анализ объема теневой экономики в лесном комплексе Иркутской области</w:t>
      </w:r>
    </w:p>
    <w:p w:rsidR="00AE562D" w:rsidRDefault="00D83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C7B61">
        <w:rPr>
          <w:sz w:val="28"/>
          <w:szCs w:val="28"/>
        </w:rPr>
        <w:t>.4 Методы расчета и расчет объема теневой экономики в лесном комплексе Иркутской области</w:t>
      </w:r>
    </w:p>
    <w:p w:rsidR="00AE562D" w:rsidRDefault="00D83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C7B61">
        <w:rPr>
          <w:sz w:val="28"/>
          <w:szCs w:val="28"/>
        </w:rPr>
        <w:t>. Методы борьбы с незаконным оборотом леса в Иркутской области</w:t>
      </w:r>
    </w:p>
    <w:p w:rsidR="00AE562D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E562D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AE562D" w:rsidRDefault="00AE562D">
      <w:pPr>
        <w:spacing w:line="360" w:lineRule="auto"/>
        <w:ind w:firstLine="709"/>
        <w:jc w:val="both"/>
        <w:rPr>
          <w:sz w:val="28"/>
          <w:szCs w:val="28"/>
        </w:rPr>
      </w:pPr>
    </w:p>
    <w:p w:rsidR="001C7B61" w:rsidRDefault="001C7B61" w:rsidP="00D83A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bookmarkStart w:id="0" w:name="_GoBack"/>
      <w:bookmarkEnd w:id="0"/>
    </w:p>
    <w:sectPr w:rsidR="001C7B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04"/>
    <w:rsid w:val="001C7B61"/>
    <w:rsid w:val="00AE562D"/>
    <w:rsid w:val="00B22904"/>
    <w:rsid w:val="00D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35065B-5667-4C5C-9BBB-C77D6FA1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2020-04-28T11:49:00Z</dcterms:created>
  <dcterms:modified xsi:type="dcterms:W3CDTF">2020-04-28T11:49:00Z</dcterms:modified>
</cp:coreProperties>
</file>