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6E8B" w:rsidRDefault="00917105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преддипломной практике по финансам и кредитам</w:t>
      </w:r>
    </w:p>
    <w:p w14:paraId="00000002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3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прохождения практики была выполнена ее цель и решены поставленные задачи.</w:t>
      </w:r>
    </w:p>
    <w:p w14:paraId="00000004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финансовой отчетности позволил сделать вывод об устойчивом финансовом положении Западно-сибирского филиала № 000 Сбербанка России. Большинство изученных показателей находится в пределах оптимальных значений, а остальные — хотя и отклоняются от оптим</w:t>
      </w:r>
      <w:r>
        <w:rPr>
          <w:rFonts w:ascii="Times New Roman" w:eastAsia="Times New Roman" w:hAnsi="Times New Roman" w:cs="Times New Roman"/>
          <w:sz w:val="28"/>
          <w:szCs w:val="28"/>
        </w:rPr>
        <w:t>альных, имеют тенденцию к улучшению. Структуру баланса можно назвать рациональной, хотя  имеют место некоторые диспропорции, особенно в части ресурсов.</w:t>
      </w:r>
    </w:p>
    <w:p w14:paraId="00000005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Западно-сибирский филиал № 000 Сбербанка России имеет низкий уровень ликвидности, однако наблюдается е</w:t>
      </w:r>
      <w:r>
        <w:rPr>
          <w:rFonts w:ascii="Times New Roman" w:eastAsia="Times New Roman" w:hAnsi="Times New Roman" w:cs="Times New Roman"/>
          <w:sz w:val="28"/>
          <w:szCs w:val="28"/>
        </w:rPr>
        <w:t>е положительная  динамика. Для регулирования своей ликвидности банк в значительных объемах привлекает межбанковские кредиты, что, учитывая нестабильность и цену данного ресурса, можно отнести к отрицательной тенденции.</w:t>
      </w:r>
    </w:p>
    <w:p w14:paraId="00000007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Западно-сибирский филиал № 000 Сберба</w:t>
      </w:r>
      <w:r>
        <w:rPr>
          <w:rFonts w:ascii="Times New Roman" w:eastAsia="Times New Roman" w:hAnsi="Times New Roman" w:cs="Times New Roman"/>
          <w:sz w:val="28"/>
          <w:szCs w:val="28"/>
        </w:rPr>
        <w:t>нка России  имеет высокую деловую активность. Его политика приближается к агрессивной, о чем свидетельствует превышенный коэффициент левой границы оптимальных значений, что может угрожать финансовой устойчивости банка.</w:t>
      </w:r>
    </w:p>
    <w:p w14:paraId="00000008" w14:textId="77777777" w:rsidR="00FA6E8B" w:rsidRDefault="0091710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Западно-сибирскому фил</w:t>
      </w:r>
      <w:r>
        <w:rPr>
          <w:rFonts w:ascii="Times New Roman" w:eastAsia="Times New Roman" w:hAnsi="Times New Roman" w:cs="Times New Roman"/>
          <w:sz w:val="28"/>
          <w:szCs w:val="28"/>
        </w:rPr>
        <w:t>иалу № 000 Сбербанка России следует отказаться от агрессивной политики и перейти к более умеренной, консервативной – как в плане привлечения ресурсов, так и в плане их размещения. Также следует обратить внимание на диверсификацию активов и пассивов.</w:t>
      </w:r>
    </w:p>
    <w:p w14:paraId="00000009" w14:textId="77777777" w:rsidR="00FA6E8B" w:rsidRDefault="00FA6E8B"/>
    <w:sectPr w:rsidR="00FA6E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8B"/>
    <w:rsid w:val="00917105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EAF5-B397-467F-8802-439495E7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2020-05-05T15:15:00Z</dcterms:created>
  <dcterms:modified xsi:type="dcterms:W3CDTF">2020-05-05T15:15:00Z</dcterms:modified>
</cp:coreProperties>
</file>